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10FC9FF0" w:rsidR="00160FAB"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46907C93" w14:textId="3007EAB2"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3AC37998" w14:textId="23F8C24F"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194310D7" w14:textId="3CE9CE2A" w:rsidR="005E4696"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7096F4BA" w14:textId="77777777" w:rsidR="005E4696" w:rsidRPr="009F56CF"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11426C9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sidR="008019B4">
        <w:rPr>
          <w:rFonts w:ascii="Verdana" w:eastAsia="Times New Roman" w:hAnsi="Verdana" w:cs="Times New Roman"/>
          <w:b/>
          <w:sz w:val="20"/>
          <w:szCs w:val="20"/>
          <w:lang w:eastAsia="pl-PL"/>
        </w:rPr>
        <w:t>2</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4803ACFC"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trybie przetargu nieograniczonego zgodnie </w:t>
      </w:r>
      <w:r w:rsidR="00303CAE" w:rsidRPr="009F56CF">
        <w:rPr>
          <w:rFonts w:ascii="Verdana" w:eastAsia="Times New Roman" w:hAnsi="Verdana" w:cs="Times New Roman"/>
          <w:sz w:val="20"/>
          <w:szCs w:val="20"/>
          <w:lang w:eastAsia="pl-PL"/>
        </w:rPr>
        <w:t xml:space="preserve">z ustawą </w:t>
      </w:r>
      <w:r w:rsidR="00303CAE" w:rsidRPr="00303CAE">
        <w:rPr>
          <w:rFonts w:ascii="Verdana" w:eastAsia="Times New Roman" w:hAnsi="Verdana" w:cs="Times New Roman"/>
          <w:sz w:val="20"/>
          <w:szCs w:val="20"/>
          <w:lang w:eastAsia="pl-PL"/>
        </w:rPr>
        <w:t xml:space="preserve">z dnia 11 września 2019 r. Prawo zamówień publicznych  (tj. Dz. U. z 2021 r. poz. 1129 z </w:t>
      </w:r>
      <w:proofErr w:type="spellStart"/>
      <w:r w:rsidR="00303CAE" w:rsidRPr="00303CAE">
        <w:rPr>
          <w:rFonts w:ascii="Verdana" w:eastAsia="Times New Roman" w:hAnsi="Verdana" w:cs="Times New Roman"/>
          <w:sz w:val="20"/>
          <w:szCs w:val="20"/>
          <w:lang w:eastAsia="pl-PL"/>
        </w:rPr>
        <w:t>późn</w:t>
      </w:r>
      <w:proofErr w:type="spellEnd"/>
      <w:r w:rsidR="00303CAE" w:rsidRPr="00303CAE">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 xml:space="preserve"> </w:t>
      </w:r>
      <w:r w:rsidR="00303CAE">
        <w:rPr>
          <w:rFonts w:ascii="Verdana" w:eastAsia="Times New Roman" w:hAnsi="Verdana" w:cs="Times New Roman"/>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6ED9F961" w:rsidR="00160FAB"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Wykaz osób skierowanych do realizacji zadania (Wykaz osób) – złożony przez Wykonawcę w trakcie postępowania o udzielenie zamówienia.</w:t>
      </w: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4E80F8C0"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Z tytułu niespełnienia przez Wykonawcę lub Podwykonawcę wymogu zatrudnienia na podstawie umowy o pracę osób wykonujących wskazane w punkcie 1 czynności Zamawiający </w:t>
      </w:r>
      <w:r w:rsidRPr="009F56CF">
        <w:rPr>
          <w:rFonts w:ascii="Verdana" w:eastAsia="Times New Roman" w:hAnsi="Verdana" w:cs="Arial"/>
          <w:bCs/>
          <w:sz w:val="20"/>
          <w:szCs w:val="20"/>
          <w:lang w:eastAsia="pl-PL"/>
        </w:rPr>
        <w:lastRenderedPageBreak/>
        <w:t>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77777777" w:rsidR="008C1EFD" w:rsidRPr="009F56CF" w:rsidRDefault="008C1EFD" w:rsidP="008C1EFD">
      <w:pPr>
        <w:pStyle w:val="Akapitzlist"/>
        <w:numPr>
          <w:ilvl w:val="0"/>
          <w:numId w:val="36"/>
        </w:numPr>
        <w:jc w:val="both"/>
        <w:rPr>
          <w:rFonts w:ascii="Verdana" w:hAnsi="Verdana" w:cs="Times New Roman"/>
          <w:sz w:val="20"/>
          <w:szCs w:val="20"/>
          <w:lang w:eastAsia="pl-PL"/>
        </w:rPr>
      </w:pPr>
      <w:r w:rsidRPr="009F56CF">
        <w:rPr>
          <w:rFonts w:ascii="Verdana" w:hAnsi="Verdana" w:cs="Times New Roman"/>
          <w:sz w:val="20"/>
          <w:szCs w:val="20"/>
          <w:lang w:eastAsia="pl-PL"/>
        </w:rPr>
        <w:t>podczas wykonania umowy oraz w okresie obowiązywania gwarancji do zapewnienia należytej współpracy z Wykonawcą wykonującym przedmiot zamówienia pn. „Dostawa i instalacja sprzętu do lokalizacji pożarów na terenie Nadleśnictwa Złoczew”, zwanego dalej Wykonawcą dostawy, w wykonywaniu przyjętych przez niego zobowiązań, w szczególności poprzez udostępnianie Wykonawcy dostawy niezbędnych danych, informacji, materiałów, koniecznych do wywiązania się przez Wykonawcę dostawy z jego zobowiązań, udostępnienie placu budowy w momencie, gdy niezbędne prace instalacyjne będą musiały być prowadzone w trakcie realizacji robót budowlanych oraz jeżeli jest taka konieczność sporządzenie protokołu uzgodnień z Wykonawca dostawy.</w:t>
      </w: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B06FFDE" w14:textId="77777777" w:rsidR="005E4696" w:rsidRDefault="005E4696" w:rsidP="008C1EFD">
      <w:pPr>
        <w:spacing w:after="0" w:line="276" w:lineRule="auto"/>
        <w:ind w:left="567" w:right="-85"/>
        <w:jc w:val="center"/>
        <w:rPr>
          <w:rFonts w:ascii="Verdana" w:eastAsia="Times New Roman" w:hAnsi="Verdana" w:cs="Times New Roman"/>
          <w:bCs/>
          <w:sz w:val="20"/>
          <w:szCs w:val="20"/>
          <w:lang w:eastAsia="pl-PL"/>
        </w:rPr>
      </w:pPr>
    </w:p>
    <w:p w14:paraId="60AC13F4" w14:textId="6A376ABF"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zaistnienia niezależnej od Wykonawcy konieczności powierzenia jakichkolwiek prac związanych z umową osobie  innej niż wskazana w złożonym przez Wykonawcę w trakcie 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 oraz zgodnie z uwarunkowaniami wynikającymi z umowy dofinansowania w związku realizacja projektu pn. „Kompleksowy projekt adaptacji lasów i leśnictwa do zmian klimatu – zapobieganie, przeciwdziałanie oraz ograniczanie skutków zagrożeń związanych z pożarami lasów” .</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D1D44A2"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5F4FE7ED"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6C1C61D4" w14:textId="76DEE04D"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w:t>
      </w:r>
      <w:r w:rsidRPr="009F56CF">
        <w:rPr>
          <w:rFonts w:ascii="Verdana" w:eastAsia="Times New Roman" w:hAnsi="Verdana" w:cs="Arial"/>
          <w:snapToGrid w:val="0"/>
          <w:sz w:val="20"/>
          <w:szCs w:val="20"/>
        </w:rPr>
        <w:lastRenderedPageBreak/>
        <w:t xml:space="preserve">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Wykonania, w celu dokonania zapłaty należności 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lastRenderedPageBreak/>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punkcie 8, jeżeli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lastRenderedPageBreak/>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 xml:space="preserve">Wykonawca zawiadomi Zamawiającego o wszelkich zmianach danych, o których mowa w ust 1, w trakcie realizacji zamówienia, a także przekazuje informacje na temat nowych </w:t>
      </w:r>
      <w:r w:rsidRPr="009F56CF">
        <w:rPr>
          <w:rFonts w:ascii="Verdana" w:eastAsia="Times New Roman" w:hAnsi="Verdana" w:cs="Arial"/>
          <w:sz w:val="20"/>
          <w:szCs w:val="20"/>
        </w:rPr>
        <w:lastRenderedPageBreak/>
        <w:t>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4AF600AC" w14:textId="7DBB5FA8"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Wszystkie odbiory robót dokonywane będą na zasadach i w terminach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r w:rsidR="00173F4D">
        <w:rPr>
          <w:rFonts w:ascii="Verdana" w:eastAsia="Times New Roman" w:hAnsi="Verdana" w:cs="Times New Roman"/>
          <w:sz w:val="20"/>
          <w:szCs w:val="20"/>
          <w:lang w:eastAsia="pl-PL"/>
        </w:rPr>
        <w:t xml:space="preserve"> </w:t>
      </w:r>
      <w:r w:rsidR="00636FCC">
        <w:rPr>
          <w:rFonts w:ascii="Verdana" w:eastAsia="Times New Roman" w:hAnsi="Verdana" w:cs="Times New Roman"/>
          <w:sz w:val="20"/>
          <w:szCs w:val="20"/>
          <w:lang w:eastAsia="pl-PL"/>
        </w:rPr>
        <w:t>O</w:t>
      </w:r>
      <w:r w:rsidR="00173F4D">
        <w:rPr>
          <w:rFonts w:ascii="Verdana" w:eastAsia="Times New Roman" w:hAnsi="Verdana" w:cs="Times New Roman"/>
          <w:sz w:val="20"/>
          <w:szCs w:val="20"/>
          <w:lang w:eastAsia="pl-PL"/>
        </w:rPr>
        <w:t>dbiór częściowy techniczny zostanie zrealizowany niezwłocznie</w:t>
      </w:r>
      <w:r w:rsidR="0001183F">
        <w:rPr>
          <w:rFonts w:ascii="Verdana" w:eastAsia="Times New Roman" w:hAnsi="Verdana" w:cs="Times New Roman"/>
          <w:sz w:val="20"/>
          <w:szCs w:val="20"/>
          <w:lang w:eastAsia="pl-PL"/>
        </w:rPr>
        <w:t>, nie później jednak niż</w:t>
      </w:r>
      <w:r w:rsidR="00173F4D">
        <w:rPr>
          <w:rFonts w:ascii="Verdana" w:eastAsia="Times New Roman" w:hAnsi="Verdana" w:cs="Times New Roman"/>
          <w:sz w:val="20"/>
          <w:szCs w:val="20"/>
          <w:lang w:eastAsia="pl-PL"/>
        </w:rPr>
        <w:t xml:space="preserve"> w </w:t>
      </w:r>
      <w:r w:rsidR="0001183F">
        <w:rPr>
          <w:rFonts w:ascii="Verdana" w:eastAsia="Times New Roman" w:hAnsi="Verdana" w:cs="Times New Roman"/>
          <w:sz w:val="20"/>
          <w:szCs w:val="20"/>
          <w:lang w:eastAsia="pl-PL"/>
        </w:rPr>
        <w:t>ciągu</w:t>
      </w:r>
      <w:r w:rsidR="00173F4D">
        <w:rPr>
          <w:rFonts w:ascii="Verdana" w:eastAsia="Times New Roman" w:hAnsi="Verdana" w:cs="Times New Roman"/>
          <w:sz w:val="20"/>
          <w:szCs w:val="20"/>
          <w:lang w:eastAsia="pl-PL"/>
        </w:rPr>
        <w:t xml:space="preserve"> 7 dni od daty </w:t>
      </w:r>
      <w:r w:rsidR="0001183F">
        <w:rPr>
          <w:rFonts w:ascii="Verdana" w:eastAsia="Times New Roman" w:hAnsi="Verdana" w:cs="Times New Roman"/>
          <w:sz w:val="20"/>
          <w:szCs w:val="20"/>
          <w:lang w:eastAsia="pl-PL"/>
        </w:rPr>
        <w:t>zgłoszenia</w:t>
      </w:r>
      <w:r w:rsidR="00E44526">
        <w:rPr>
          <w:rFonts w:ascii="Verdana" w:eastAsia="Times New Roman" w:hAnsi="Verdana" w:cs="Times New Roman"/>
          <w:sz w:val="20"/>
          <w:szCs w:val="20"/>
          <w:lang w:eastAsia="pl-PL"/>
        </w:rPr>
        <w:t xml:space="preserve"> gotowości do odbioru zrealizowanych prac</w:t>
      </w:r>
      <w:r w:rsidR="0001183F">
        <w:rPr>
          <w:rFonts w:ascii="Verdana" w:eastAsia="Times New Roman" w:hAnsi="Verdana" w:cs="Times New Roman"/>
          <w:sz w:val="20"/>
          <w:szCs w:val="20"/>
          <w:lang w:eastAsia="pl-PL"/>
        </w:rPr>
        <w:t>.</w:t>
      </w:r>
      <w:r w:rsidR="0039027F">
        <w:rPr>
          <w:rFonts w:ascii="Verdana" w:eastAsia="Times New Roman" w:hAnsi="Verdana" w:cs="Times New Roman"/>
          <w:sz w:val="20"/>
          <w:szCs w:val="20"/>
          <w:lang w:eastAsia="pl-PL"/>
        </w:rPr>
        <w:t xml:space="preserve"> Odbiór końcowy zostanie zrealizowany w terminie 7 dni po zgłoszeniu przez Wykonawcę wykonania całości robót i gotowości do odbioru.</w:t>
      </w:r>
    </w:p>
    <w:p w14:paraId="5A849F59" w14:textId="35E66337"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Z czynności odbioru </w:t>
      </w:r>
      <w:r w:rsidR="004E2E7F" w:rsidRPr="004E2E7F">
        <w:rPr>
          <w:rFonts w:ascii="Verdana" w:eastAsia="Times New Roman" w:hAnsi="Verdana" w:cs="Times New Roman"/>
          <w:bCs/>
          <w:sz w:val="20"/>
          <w:szCs w:val="20"/>
          <w:lang w:eastAsia="pl-PL"/>
        </w:rPr>
        <w:t xml:space="preserve"> robót zanikających i ulegających zakryciu</w:t>
      </w:r>
      <w:r w:rsidR="004E2E7F">
        <w:rPr>
          <w:rFonts w:ascii="Verdana" w:eastAsia="Times New Roman" w:hAnsi="Verdana" w:cs="Times New Roman"/>
          <w:bCs/>
          <w:sz w:val="20"/>
          <w:szCs w:val="20"/>
          <w:lang w:eastAsia="pl-PL"/>
        </w:rPr>
        <w:t xml:space="preserve">, odbioru </w:t>
      </w:r>
      <w:r w:rsidR="004E2E7F" w:rsidRPr="004E2E7F">
        <w:rPr>
          <w:rFonts w:ascii="Verdana" w:eastAsia="Times New Roman" w:hAnsi="Verdana" w:cs="Times New Roman"/>
          <w:bCs/>
          <w:sz w:val="20"/>
          <w:szCs w:val="20"/>
          <w:lang w:eastAsia="pl-PL"/>
        </w:rPr>
        <w:t>częściow</w:t>
      </w:r>
      <w:r w:rsidR="004E2E7F">
        <w:rPr>
          <w:rFonts w:ascii="Verdana" w:eastAsia="Times New Roman" w:hAnsi="Verdana" w:cs="Times New Roman"/>
          <w:bCs/>
          <w:sz w:val="20"/>
          <w:szCs w:val="20"/>
          <w:lang w:eastAsia="pl-PL"/>
        </w:rPr>
        <w:t>ego</w:t>
      </w:r>
      <w:r w:rsidR="004E2E7F" w:rsidRPr="004E2E7F">
        <w:rPr>
          <w:rFonts w:ascii="Verdana" w:eastAsia="Times New Roman" w:hAnsi="Verdana" w:cs="Times New Roman"/>
          <w:bCs/>
          <w:sz w:val="20"/>
          <w:szCs w:val="20"/>
          <w:lang w:eastAsia="pl-PL"/>
        </w:rPr>
        <w:t xml:space="preserve"> techniczn</w:t>
      </w:r>
      <w:r w:rsidR="004E2E7F">
        <w:rPr>
          <w:rFonts w:ascii="Verdana" w:eastAsia="Times New Roman" w:hAnsi="Verdana" w:cs="Times New Roman"/>
          <w:bCs/>
          <w:sz w:val="20"/>
          <w:szCs w:val="20"/>
          <w:lang w:eastAsia="pl-PL"/>
        </w:rPr>
        <w:t xml:space="preserve">ego, odbioru </w:t>
      </w:r>
      <w:r w:rsidR="0001183F">
        <w:rPr>
          <w:rFonts w:ascii="Verdana" w:eastAsia="Times New Roman" w:hAnsi="Verdana" w:cs="Times New Roman"/>
          <w:bCs/>
          <w:sz w:val="20"/>
          <w:szCs w:val="20"/>
          <w:lang w:eastAsia="pl-PL"/>
        </w:rPr>
        <w:t>końcowego</w:t>
      </w:r>
      <w:r w:rsidR="004E2E7F">
        <w:rPr>
          <w:rFonts w:ascii="Verdana" w:eastAsia="Times New Roman" w:hAnsi="Verdana" w:cs="Times New Roman"/>
          <w:bCs/>
          <w:sz w:val="20"/>
          <w:szCs w:val="20"/>
          <w:lang w:eastAsia="pl-PL"/>
        </w:rPr>
        <w:t>, odbioru o</w:t>
      </w:r>
      <w:r w:rsidRPr="009F56CF">
        <w:rPr>
          <w:rFonts w:ascii="Verdana" w:eastAsia="Times New Roman" w:hAnsi="Verdana" w:cs="Times New Roman"/>
          <w:bCs/>
          <w:sz w:val="20"/>
          <w:szCs w:val="20"/>
          <w:lang w:eastAsia="pl-PL"/>
        </w:rPr>
        <w:t>statecznego</w:t>
      </w:r>
      <w:r w:rsidR="004E2E7F" w:rsidRPr="004E2E7F">
        <w:rPr>
          <w:rFonts w:ascii="Verdana" w:eastAsia="Times New Roman" w:hAnsi="Verdana" w:cs="Times New Roman"/>
          <w:bCs/>
          <w:iCs/>
          <w:sz w:val="20"/>
          <w:szCs w:val="20"/>
          <w:lang w:eastAsia="pl-PL"/>
        </w:rPr>
        <w:t xml:space="preserve"> w tym</w:t>
      </w:r>
      <w:r w:rsidR="004E2E7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
          <w:sz w:val="20"/>
          <w:szCs w:val="20"/>
          <w:lang w:eastAsia="pl-PL"/>
        </w:rPr>
        <w:t xml:space="preserve"> </w:t>
      </w:r>
      <w:r w:rsidRPr="009F56CF">
        <w:rPr>
          <w:rFonts w:ascii="Verdana" w:eastAsia="Times New Roman" w:hAnsi="Verdana" w:cs="Times New Roman"/>
          <w:bCs/>
          <w:iCs/>
          <w:sz w:val="20"/>
          <w:szCs w:val="20"/>
          <w:lang w:eastAsia="pl-PL"/>
        </w:rPr>
        <w:t>odbioru gwarancyjnego</w:t>
      </w:r>
      <w:r w:rsidRPr="009F56CF">
        <w:rPr>
          <w:rFonts w:ascii="Verdana" w:eastAsia="Times New Roman" w:hAnsi="Verdana" w:cs="Times New Roman"/>
          <w:bCs/>
          <w:sz w:val="20"/>
          <w:szCs w:val="20"/>
          <w:lang w:eastAsia="pl-PL"/>
        </w:rPr>
        <w:t xml:space="preserve"> </w:t>
      </w:r>
      <w:r w:rsidRPr="009F56CF">
        <w:rPr>
          <w:rFonts w:ascii="Verdana" w:eastAsia="Times New Roman" w:hAnsi="Verdana" w:cs="Times New Roman"/>
          <w:sz w:val="20"/>
          <w:szCs w:val="20"/>
          <w:lang w:eastAsia="pl-PL"/>
        </w:rPr>
        <w:t>i odbioru przed upływem okresu rękojmi</w:t>
      </w:r>
      <w:r w:rsidRPr="009F56CF">
        <w:rPr>
          <w:rFonts w:ascii="Verdana" w:eastAsia="Times New Roman" w:hAnsi="Verdana" w:cs="Times New Roman"/>
          <w:b/>
          <w:sz w:val="20"/>
          <w:szCs w:val="20"/>
          <w:lang w:eastAsia="pl-PL"/>
        </w:rPr>
        <w:t xml:space="preserve"> </w:t>
      </w:r>
      <w:r w:rsidRPr="009F56CF">
        <w:rPr>
          <w:rFonts w:ascii="Verdana" w:eastAsia="Times New Roman" w:hAnsi="Verdana" w:cs="Times New Roman"/>
          <w:bCs/>
          <w:sz w:val="20"/>
          <w:szCs w:val="20"/>
          <w:lang w:eastAsia="pl-PL"/>
        </w:rPr>
        <w:t xml:space="preserve">będzie spisany protokół zawierający wszelkie ustalenia dokonane w toku odbioru oraz terminy wyznaczone na usunięcie stwierdzonych w trakcie odbioru </w:t>
      </w:r>
      <w:r w:rsidRPr="009F56CF">
        <w:rPr>
          <w:rFonts w:ascii="Verdana" w:eastAsia="Times New Roman" w:hAnsi="Verdana" w:cs="Times New Roman"/>
          <w:sz w:val="20"/>
          <w:szCs w:val="20"/>
          <w:lang w:eastAsia="pl-PL"/>
        </w:rPr>
        <w:t>wad lub usterek</w:t>
      </w:r>
      <w:r w:rsidRPr="009F56CF">
        <w:rPr>
          <w:rFonts w:ascii="Verdana" w:eastAsia="Times New Roman" w:hAnsi="Verdana" w:cs="Times New Roman"/>
          <w:bCs/>
          <w:sz w:val="20"/>
          <w:szCs w:val="20"/>
          <w:lang w:eastAsia="pl-PL"/>
        </w:rPr>
        <w:t>.</w:t>
      </w:r>
    </w:p>
    <w:p w14:paraId="2CE20EF9" w14:textId="114A1E11" w:rsidR="008C1EFD" w:rsidRPr="009F56CF" w:rsidRDefault="008C1EFD" w:rsidP="008C1EFD">
      <w:pPr>
        <w:numPr>
          <w:ilvl w:val="0"/>
          <w:numId w:val="21"/>
        </w:numPr>
        <w:spacing w:after="0" w:line="276" w:lineRule="auto"/>
        <w:ind w:left="284" w:right="-83" w:hanging="284"/>
        <w:jc w:val="both"/>
        <w:rPr>
          <w:rFonts w:ascii="Verdana" w:eastAsia="Times New Roman" w:hAnsi="Verdana" w:cs="Times New Roman"/>
          <w:bCs/>
          <w:i/>
          <w:sz w:val="20"/>
          <w:szCs w:val="20"/>
          <w:lang w:eastAsia="pl-PL"/>
        </w:rPr>
      </w:pPr>
      <w:r w:rsidRPr="009F56CF">
        <w:rPr>
          <w:rFonts w:ascii="Verdana" w:eastAsia="Times New Roman" w:hAnsi="Verdana" w:cs="Times New Roman"/>
          <w:bCs/>
          <w:sz w:val="20"/>
          <w:szCs w:val="20"/>
          <w:lang w:eastAsia="pl-PL"/>
        </w:rPr>
        <w:t xml:space="preserve">Po protokolarnym potwierdzeniu usunięcia wad lub usterek stwierdzonych przy odbiorze </w:t>
      </w:r>
      <w:r w:rsidR="0001183F">
        <w:rPr>
          <w:rFonts w:ascii="Verdana" w:eastAsia="Times New Roman" w:hAnsi="Verdana" w:cs="Times New Roman"/>
          <w:bCs/>
          <w:sz w:val="20"/>
          <w:szCs w:val="20"/>
          <w:lang w:eastAsia="pl-PL"/>
        </w:rPr>
        <w:t xml:space="preserve">końcowym robót </w:t>
      </w:r>
      <w:r w:rsidRPr="009F56CF">
        <w:rPr>
          <w:rFonts w:ascii="Verdana" w:eastAsia="Times New Roman" w:hAnsi="Verdana" w:cs="Times New Roman"/>
          <w:bCs/>
          <w:sz w:val="20"/>
          <w:szCs w:val="20"/>
          <w:lang w:eastAsia="pl-PL"/>
        </w:rPr>
        <w:t xml:space="preserve">rozpoczynają swój bieg terminy na zwrot zabezpieczenia należytego wykonania umowy, o którym mowa w § 21 ust. 3 </w:t>
      </w:r>
      <w:r w:rsidRPr="009F56CF">
        <w:rPr>
          <w:rFonts w:ascii="Verdana" w:eastAsia="Times New Roman" w:hAnsi="Verdana" w:cs="Times New Roman"/>
          <w:sz w:val="20"/>
          <w:szCs w:val="20"/>
          <w:lang w:eastAsia="pl-PL"/>
        </w:rPr>
        <w:t>Umowy.</w:t>
      </w:r>
    </w:p>
    <w:p w14:paraId="776520AC" w14:textId="77777777"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Wszelkie zmiany w realizacji robót, a w szczególności takie, które niosą za sobą skutki finansowe, zwiększenie zakresu robót lub roboty dodatkowe, wprowadzanie materiałów, technologii, nie wskazanych w Kosztorysie Ofertowym muszą być uzgodnione z Nadzorem i zaakceptowane (zatwierdzone na piśmie) przez Zamawiającego.</w:t>
      </w:r>
    </w:p>
    <w:p w14:paraId="7DA36BDA" w14:textId="324842C8" w:rsidR="008C1EFD" w:rsidRPr="009F56CF" w:rsidRDefault="008C1EFD" w:rsidP="008C1EFD">
      <w:pPr>
        <w:numPr>
          <w:ilvl w:val="0"/>
          <w:numId w:val="21"/>
        </w:num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Zamawiający ma prawo wstrzymać czynności odbioru </w:t>
      </w:r>
      <w:r w:rsidR="0001183F">
        <w:rPr>
          <w:rFonts w:ascii="Verdana" w:eastAsia="Times New Roman" w:hAnsi="Verdana" w:cs="Times New Roman"/>
          <w:bCs/>
          <w:sz w:val="20"/>
          <w:szCs w:val="20"/>
          <w:lang w:eastAsia="pl-PL"/>
        </w:rPr>
        <w:t xml:space="preserve">końcowego robót </w:t>
      </w:r>
      <w:r w:rsidRPr="009F56CF">
        <w:rPr>
          <w:rFonts w:ascii="Verdana" w:eastAsia="Times New Roman" w:hAnsi="Verdana" w:cs="Times New Roman"/>
          <w:bCs/>
          <w:sz w:val="20"/>
          <w:szCs w:val="20"/>
          <w:lang w:eastAsia="pl-PL"/>
        </w:rPr>
        <w:t xml:space="preserve">, jeżeli Wykonawca nie wykonał przedmiotu umowy w całości, nie wykonał wymaganych </w:t>
      </w:r>
      <w:r w:rsidRPr="00C0182B">
        <w:rPr>
          <w:rFonts w:ascii="Verdana" w:eastAsia="Times New Roman" w:hAnsi="Verdana" w:cs="Times New Roman"/>
          <w:bCs/>
          <w:sz w:val="20"/>
          <w:szCs w:val="20"/>
          <w:lang w:eastAsia="pl-PL"/>
        </w:rPr>
        <w:t>prób (badań)</w:t>
      </w:r>
      <w:r w:rsidRPr="009F56CF">
        <w:rPr>
          <w:rFonts w:ascii="Verdana" w:eastAsia="Times New Roman" w:hAnsi="Verdana" w:cs="Times New Roman"/>
          <w:bCs/>
          <w:sz w:val="20"/>
          <w:szCs w:val="20"/>
          <w:lang w:eastAsia="pl-PL"/>
        </w:rPr>
        <w:t xml:space="preserve"> i sprawdzeń oraz nie przedstawił dokumentów, o których mowa w § 10 ust. 1 pkt 7 Umowy. </w:t>
      </w: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na </w:t>
      </w:r>
      <w:r w:rsidRPr="00F86558">
        <w:rPr>
          <w:rFonts w:ascii="Verdana" w:eastAsia="Times New Roman" w:hAnsi="Verdana" w:cs="Arial"/>
          <w:b/>
          <w:bCs/>
          <w:sz w:val="20"/>
          <w:szCs w:val="24"/>
          <w:lang w:eastAsia="pl-PL"/>
        </w:rPr>
        <w:t>okres</w:t>
      </w:r>
      <w:r w:rsidR="00CE01B9" w:rsidRPr="00F86558">
        <w:rPr>
          <w:rFonts w:ascii="Verdana" w:eastAsia="Times New Roman" w:hAnsi="Verdana" w:cs="Arial"/>
          <w:b/>
          <w:bCs/>
          <w:sz w:val="20"/>
          <w:szCs w:val="24"/>
          <w:lang w:eastAsia="pl-PL"/>
        </w:rPr>
        <w:t xml:space="preserve"> …..</w:t>
      </w:r>
      <w:r w:rsidRPr="00F86558">
        <w:rPr>
          <w:rFonts w:ascii="Verdana" w:eastAsia="Times New Roman" w:hAnsi="Verdana" w:cs="Arial"/>
          <w:b/>
          <w:bCs/>
          <w:sz w:val="20"/>
          <w:szCs w:val="24"/>
          <w:lang w:eastAsia="pl-PL"/>
        </w:rPr>
        <w:t> </w:t>
      </w:r>
      <w:r w:rsidRPr="00DE7839">
        <w:rPr>
          <w:rFonts w:ascii="Verdana" w:eastAsia="Times New Roman" w:hAnsi="Verdana" w:cs="Arial"/>
          <w:sz w:val="20"/>
          <w:szCs w:val="24"/>
          <w:lang w:eastAsia="pl-PL"/>
        </w:rPr>
        <w:t>.</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BB1FFB9"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Umowy </w:t>
      </w:r>
      <w:r w:rsidRPr="00F86558">
        <w:rPr>
          <w:rFonts w:ascii="Verdana" w:eastAsia="Times New Roman" w:hAnsi="Verdana" w:cs="Arial"/>
          <w:b/>
          <w:bCs/>
          <w:sz w:val="20"/>
          <w:szCs w:val="24"/>
          <w:lang w:eastAsia="pl-PL"/>
        </w:rPr>
        <w:t xml:space="preserve">wynosi </w:t>
      </w:r>
      <w:r w:rsidR="00F86558">
        <w:rPr>
          <w:rFonts w:ascii="Verdana" w:eastAsia="Times New Roman" w:hAnsi="Verdana" w:cs="Arial"/>
          <w:b/>
          <w:bCs/>
          <w:sz w:val="20"/>
          <w:szCs w:val="24"/>
          <w:lang w:eastAsia="pl-PL"/>
        </w:rPr>
        <w:t>4 lata</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lastRenderedPageBreak/>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7947E751" w14:textId="29B15925"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13B5B44A" w14:textId="77777777" w:rsidR="00D82EA2" w:rsidRDefault="00D82EA2"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7777777"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 pn. „Dostawa i instalacja sprzętu do lokalizacji pożarów na terenie Nadleśnictwa Złoczew”,</w:t>
      </w:r>
    </w:p>
    <w:p w14:paraId="390030AA"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 27 ust. 5 pkt 9 Umowy, odpowiadają opisowi pozycji w Kosztorysie ofertowym, cena jednostkowa określona w Kosztorysie ofertowym, używana jest do wyliczenia wysokości wynagrodzenia, o którym mowa w § 5 Umowy.</w:t>
      </w:r>
    </w:p>
    <w:p w14:paraId="5757B0DD" w14:textId="77777777"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 xml:space="preserve">Jeżeli roboty wynikające z zmiany wprowadzonych postanowieniami § 27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w:t>
      </w:r>
      <w:r w:rsidRPr="009F56CF">
        <w:rPr>
          <w:rFonts w:ascii="Verdana" w:hAnsi="Verdana" w:cs="Times New Roman"/>
          <w:sz w:val="20"/>
          <w:szCs w:val="20"/>
          <w:lang w:eastAsia="pl-PL"/>
        </w:rPr>
        <w:lastRenderedPageBreak/>
        <w:t>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0A4375D" w14:textId="1B3338E4" w:rsidR="00461A35" w:rsidRDefault="008C1EFD">
      <w:pPr>
        <w:rPr>
          <w:rFonts w:ascii="Verdana" w:eastAsia="Times New Roman" w:hAnsi="Verdana" w:cs="Arial"/>
          <w:b/>
          <w:spacing w:val="-11"/>
          <w:sz w:val="20"/>
          <w:szCs w:val="20"/>
          <w:lang w:eastAsia="pl-PL"/>
        </w:rPr>
      </w:pPr>
      <w:r w:rsidRPr="009F56CF">
        <w:rPr>
          <w:rFonts w:ascii="Verdana" w:eastAsia="Times New Roman" w:hAnsi="Verdana" w:cs="Arial"/>
          <w:b/>
          <w:spacing w:val="-11"/>
          <w:sz w:val="20"/>
          <w:szCs w:val="20"/>
          <w:lang w:eastAsia="pl-PL"/>
        </w:rPr>
        <w:br w:type="page"/>
      </w:r>
      <w:r w:rsidR="00642087">
        <w:rPr>
          <w:rFonts w:ascii="Verdana" w:eastAsia="Times New Roman" w:hAnsi="Verdana" w:cs="Arial"/>
          <w:b/>
          <w:spacing w:val="-11"/>
          <w:sz w:val="20"/>
          <w:szCs w:val="20"/>
          <w:lang w:eastAsia="pl-PL"/>
        </w:rPr>
        <w:lastRenderedPageBreak/>
        <w:br w:type="page"/>
      </w:r>
      <w:r w:rsidR="00461A35">
        <w:rPr>
          <w:rFonts w:ascii="Verdana" w:eastAsia="Times New Roman" w:hAnsi="Verdana" w:cs="Arial"/>
          <w:b/>
          <w:spacing w:val="-11"/>
          <w:sz w:val="20"/>
          <w:szCs w:val="20"/>
          <w:lang w:eastAsia="pl-PL"/>
        </w:rPr>
        <w:lastRenderedPageBreak/>
        <w:br w:type="page"/>
      </w:r>
    </w:p>
    <w:p w14:paraId="171A3868"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44B910D6" w14:textId="5BCE4FC0" w:rsidR="00886475" w:rsidRDefault="00886475">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br w:type="page"/>
      </w: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88558" w14:textId="77777777" w:rsidR="00753276" w:rsidRDefault="00753276">
      <w:pPr>
        <w:spacing w:after="0" w:line="240" w:lineRule="auto"/>
      </w:pPr>
      <w:r>
        <w:separator/>
      </w:r>
    </w:p>
  </w:endnote>
  <w:endnote w:type="continuationSeparator" w:id="0">
    <w:p w14:paraId="78875E73" w14:textId="77777777" w:rsidR="00753276" w:rsidRDefault="00753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7A1E" w14:textId="77777777" w:rsidR="00753276" w:rsidRDefault="00753276">
      <w:pPr>
        <w:spacing w:after="0" w:line="240" w:lineRule="auto"/>
      </w:pPr>
      <w:r>
        <w:separator/>
      </w:r>
    </w:p>
  </w:footnote>
  <w:footnote w:type="continuationSeparator" w:id="0">
    <w:p w14:paraId="4ADBDBDF" w14:textId="77777777" w:rsidR="00753276" w:rsidRDefault="00753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9"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3"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1"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3"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4"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5"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1"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4"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2"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4"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0"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abstractNumId w:val="4"/>
  </w:num>
  <w:num w:numId="2">
    <w:abstractNumId w:val="43"/>
  </w:num>
  <w:num w:numId="3">
    <w:abstractNumId w:val="30"/>
  </w:num>
  <w:num w:numId="4">
    <w:abstractNumId w:val="52"/>
  </w:num>
  <w:num w:numId="5">
    <w:abstractNumId w:val="48"/>
  </w:num>
  <w:num w:numId="6">
    <w:abstractNumId w:val="1"/>
  </w:num>
  <w:num w:numId="7">
    <w:abstractNumId w:val="6"/>
  </w:num>
  <w:num w:numId="8">
    <w:abstractNumId w:val="7"/>
  </w:num>
  <w:num w:numId="9">
    <w:abstractNumId w:val="59"/>
  </w:num>
  <w:num w:numId="10">
    <w:abstractNumId w:val="58"/>
  </w:num>
  <w:num w:numId="11">
    <w:abstractNumId w:val="44"/>
  </w:num>
  <w:num w:numId="12">
    <w:abstractNumId w:val="22"/>
  </w:num>
  <w:num w:numId="13">
    <w:abstractNumId w:val="20"/>
  </w:num>
  <w:num w:numId="14">
    <w:abstractNumId w:val="32"/>
  </w:num>
  <w:num w:numId="15">
    <w:abstractNumId w:val="55"/>
  </w:num>
  <w:num w:numId="16">
    <w:abstractNumId w:val="19"/>
  </w:num>
  <w:num w:numId="17">
    <w:abstractNumId w:val="25"/>
  </w:num>
  <w:num w:numId="18">
    <w:abstractNumId w:val="3"/>
  </w:num>
  <w:num w:numId="19">
    <w:abstractNumId w:val="0"/>
  </w:num>
  <w:num w:numId="20">
    <w:abstractNumId w:val="11"/>
  </w:num>
  <w:num w:numId="21">
    <w:abstractNumId w:val="34"/>
  </w:num>
  <w:num w:numId="22">
    <w:abstractNumId w:val="28"/>
  </w:num>
  <w:num w:numId="23">
    <w:abstractNumId w:val="33"/>
  </w:num>
  <w:num w:numId="24">
    <w:abstractNumId w:val="38"/>
  </w:num>
  <w:num w:numId="25">
    <w:abstractNumId w:val="21"/>
  </w:num>
  <w:num w:numId="26">
    <w:abstractNumId w:val="5"/>
  </w:num>
  <w:num w:numId="27">
    <w:abstractNumId w:val="57"/>
  </w:num>
  <w:num w:numId="28">
    <w:abstractNumId w:val="51"/>
  </w:num>
  <w:num w:numId="29">
    <w:abstractNumId w:val="18"/>
  </w:num>
  <w:num w:numId="30">
    <w:abstractNumId w:val="31"/>
  </w:num>
  <w:num w:numId="31">
    <w:abstractNumId w:val="24"/>
  </w:num>
  <w:num w:numId="32">
    <w:abstractNumId w:val="39"/>
  </w:num>
  <w:num w:numId="33">
    <w:abstractNumId w:val="17"/>
  </w:num>
  <w:num w:numId="34">
    <w:abstractNumId w:val="53"/>
  </w:num>
  <w:num w:numId="35">
    <w:abstractNumId w:val="1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27"/>
  </w:num>
  <w:num w:numId="40">
    <w:abstractNumId w:val="13"/>
  </w:num>
  <w:num w:numId="41">
    <w:abstractNumId w:val="47"/>
  </w:num>
  <w:num w:numId="42">
    <w:abstractNumId w:val="35"/>
  </w:num>
  <w:num w:numId="43">
    <w:abstractNumId w:val="49"/>
  </w:num>
  <w:num w:numId="44">
    <w:abstractNumId w:val="54"/>
  </w:num>
  <w:num w:numId="45">
    <w:abstractNumId w:val="14"/>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0"/>
  </w:num>
  <w:num w:numId="48">
    <w:abstractNumId w:val="26"/>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12"/>
  </w:num>
  <w:num w:numId="52">
    <w:abstractNumId w:val="46"/>
  </w:num>
  <w:num w:numId="53">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num>
  <w:num w:numId="58">
    <w:abstractNumId w:val="42"/>
  </w:num>
  <w:num w:numId="59">
    <w:abstractNumId w:val="40"/>
  </w:num>
  <w:num w:numId="60">
    <w:abstractNumId w:val="10"/>
  </w:num>
  <w:num w:numId="61">
    <w:abstractNumId w:val="36"/>
  </w:num>
  <w:num w:numId="62">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706A4"/>
    <w:rsid w:val="00172418"/>
    <w:rsid w:val="00173F4D"/>
    <w:rsid w:val="001A1E5E"/>
    <w:rsid w:val="001E7834"/>
    <w:rsid w:val="00206BEC"/>
    <w:rsid w:val="002563E3"/>
    <w:rsid w:val="00266126"/>
    <w:rsid w:val="002746B9"/>
    <w:rsid w:val="00284FCB"/>
    <w:rsid w:val="002A1455"/>
    <w:rsid w:val="002B2566"/>
    <w:rsid w:val="002C3588"/>
    <w:rsid w:val="002C51DA"/>
    <w:rsid w:val="002C57CE"/>
    <w:rsid w:val="002D40F7"/>
    <w:rsid w:val="002E6D47"/>
    <w:rsid w:val="002F0BC5"/>
    <w:rsid w:val="002F30A3"/>
    <w:rsid w:val="00303CAE"/>
    <w:rsid w:val="003123D6"/>
    <w:rsid w:val="003751F9"/>
    <w:rsid w:val="003859CB"/>
    <w:rsid w:val="0039027F"/>
    <w:rsid w:val="00391CFA"/>
    <w:rsid w:val="003C5ABE"/>
    <w:rsid w:val="003D68DF"/>
    <w:rsid w:val="003D6B59"/>
    <w:rsid w:val="003D7B04"/>
    <w:rsid w:val="0044713E"/>
    <w:rsid w:val="00454AEF"/>
    <w:rsid w:val="00461A35"/>
    <w:rsid w:val="004C097B"/>
    <w:rsid w:val="004C2C15"/>
    <w:rsid w:val="004E2899"/>
    <w:rsid w:val="004E2E7F"/>
    <w:rsid w:val="005033A3"/>
    <w:rsid w:val="005309F6"/>
    <w:rsid w:val="00572CBE"/>
    <w:rsid w:val="00596473"/>
    <w:rsid w:val="005A54C3"/>
    <w:rsid w:val="005C627E"/>
    <w:rsid w:val="005E058B"/>
    <w:rsid w:val="005E4696"/>
    <w:rsid w:val="006070D7"/>
    <w:rsid w:val="006118C3"/>
    <w:rsid w:val="006227D7"/>
    <w:rsid w:val="00636FCC"/>
    <w:rsid w:val="00642087"/>
    <w:rsid w:val="006676C0"/>
    <w:rsid w:val="006F2B7D"/>
    <w:rsid w:val="00713B72"/>
    <w:rsid w:val="00723E1C"/>
    <w:rsid w:val="00733C9F"/>
    <w:rsid w:val="00741658"/>
    <w:rsid w:val="00753276"/>
    <w:rsid w:val="007816F1"/>
    <w:rsid w:val="007C0393"/>
    <w:rsid w:val="008019B4"/>
    <w:rsid w:val="00806D7E"/>
    <w:rsid w:val="00812AA6"/>
    <w:rsid w:val="00886475"/>
    <w:rsid w:val="008A02E8"/>
    <w:rsid w:val="008A4960"/>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20E09"/>
    <w:rsid w:val="00B31701"/>
    <w:rsid w:val="00B3737C"/>
    <w:rsid w:val="00B84ECA"/>
    <w:rsid w:val="00BA6EF3"/>
    <w:rsid w:val="00BC38BE"/>
    <w:rsid w:val="00BC78C3"/>
    <w:rsid w:val="00C0182B"/>
    <w:rsid w:val="00C169F9"/>
    <w:rsid w:val="00C23AE9"/>
    <w:rsid w:val="00C27D83"/>
    <w:rsid w:val="00C447FC"/>
    <w:rsid w:val="00C80180"/>
    <w:rsid w:val="00C802F7"/>
    <w:rsid w:val="00CD488D"/>
    <w:rsid w:val="00CE01B9"/>
    <w:rsid w:val="00CE5B26"/>
    <w:rsid w:val="00D00092"/>
    <w:rsid w:val="00D46025"/>
    <w:rsid w:val="00D5519A"/>
    <w:rsid w:val="00D827E7"/>
    <w:rsid w:val="00D82EA2"/>
    <w:rsid w:val="00D8772F"/>
    <w:rsid w:val="00D97C3F"/>
    <w:rsid w:val="00DA5128"/>
    <w:rsid w:val="00DE7839"/>
    <w:rsid w:val="00E04FB3"/>
    <w:rsid w:val="00E0685D"/>
    <w:rsid w:val="00E44526"/>
    <w:rsid w:val="00E522FB"/>
    <w:rsid w:val="00EC7130"/>
    <w:rsid w:val="00EE451C"/>
    <w:rsid w:val="00EE5798"/>
    <w:rsid w:val="00F031A3"/>
    <w:rsid w:val="00F1004A"/>
    <w:rsid w:val="00F55782"/>
    <w:rsid w:val="00F741B3"/>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9941</Words>
  <Characters>59646</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2022-04-29T09:30:00Z</cp:lastPrinted>
  <dcterms:created xsi:type="dcterms:W3CDTF">2022-04-29T09:36:00Z</dcterms:created>
  <dcterms:modified xsi:type="dcterms:W3CDTF">2022-04-29T09:36:00Z</dcterms:modified>
</cp:coreProperties>
</file>